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8A627" w14:textId="48A3AA56" w:rsidR="00DF74C0" w:rsidRPr="008D1363" w:rsidRDefault="00DF74C0">
      <w:pPr>
        <w:rPr>
          <w:rFonts w:asciiTheme="minorBidi" w:hAnsiTheme="minorBidi"/>
          <w:sz w:val="20"/>
          <w:szCs w:val="20"/>
        </w:rPr>
      </w:pPr>
    </w:p>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5FBCF733" w14:textId="36BDEBD6" w:rsidR="00344AB5" w:rsidRDefault="008D1363" w:rsidP="00344AB5">
      <w:pPr>
        <w:pStyle w:val="Default"/>
        <w:rPr>
          <w:sz w:val="20"/>
          <w:szCs w:val="20"/>
        </w:rPr>
      </w:pPr>
      <w:r w:rsidRPr="0032067E">
        <w:rPr>
          <w:rFonts w:asciiTheme="minorBidi" w:hAnsiTheme="minorBidi" w:cstheme="minorBidi"/>
          <w:b/>
          <w:bCs/>
          <w:sz w:val="18"/>
          <w:szCs w:val="18"/>
        </w:rPr>
        <w:t xml:space="preserve">Title: </w:t>
      </w:r>
      <w:r w:rsidR="0019567C">
        <w:rPr>
          <w:rFonts w:asciiTheme="minorBidi" w:hAnsiTheme="minorBidi" w:cstheme="minorBidi"/>
          <w:b/>
          <w:bCs/>
          <w:sz w:val="18"/>
          <w:szCs w:val="18"/>
        </w:rPr>
        <w:t>Three</w:t>
      </w:r>
      <w:r w:rsidR="00344AB5">
        <w:rPr>
          <w:rFonts w:asciiTheme="minorBidi" w:hAnsiTheme="minorBidi" w:cstheme="minorBidi"/>
          <w:b/>
          <w:bCs/>
          <w:sz w:val="18"/>
          <w:szCs w:val="18"/>
        </w:rPr>
        <w:t xml:space="preserve"> 0</w:t>
      </w:r>
      <w:r w:rsidR="0019567C">
        <w:rPr>
          <w:rFonts w:asciiTheme="minorBidi" w:hAnsiTheme="minorBidi" w:cstheme="minorBidi"/>
          <w:b/>
          <w:bCs/>
          <w:sz w:val="18"/>
          <w:szCs w:val="18"/>
        </w:rPr>
        <w:t>3</w:t>
      </w:r>
      <w:r w:rsidR="00344AB5">
        <w:rPr>
          <w:rFonts w:asciiTheme="minorBidi" w:hAnsiTheme="minorBidi" w:cstheme="minorBidi"/>
          <w:b/>
          <w:bCs/>
          <w:sz w:val="18"/>
          <w:szCs w:val="18"/>
        </w:rPr>
        <w:t xml:space="preserve"> Rental </w:t>
      </w:r>
      <w:r w:rsidR="00344AB5">
        <w:rPr>
          <w:b/>
          <w:bCs/>
          <w:sz w:val="20"/>
          <w:szCs w:val="20"/>
        </w:rPr>
        <w:t>Flying Cooch4X4 Mod 1992-2000</w:t>
      </w:r>
      <w:r w:rsidR="0019567C">
        <w:rPr>
          <w:b/>
          <w:bCs/>
          <w:sz w:val="20"/>
          <w:szCs w:val="20"/>
        </w:rPr>
        <w:t xml:space="preserve"> and one corolla Saracha</w:t>
      </w:r>
      <w:r w:rsidR="00344AB5">
        <w:rPr>
          <w:b/>
          <w:bCs/>
          <w:sz w:val="20"/>
          <w:szCs w:val="20"/>
        </w:rPr>
        <w:t>) with</w:t>
      </w:r>
      <w:r w:rsidR="00344AB5">
        <w:rPr>
          <w:sz w:val="20"/>
          <w:szCs w:val="20"/>
        </w:rPr>
        <w:t xml:space="preserve"> Drivers for </w:t>
      </w:r>
      <w:r w:rsidR="00344AB5">
        <w:rPr>
          <w:rFonts w:asciiTheme="minorBidi" w:hAnsiTheme="minorBidi" w:cstheme="minorBidi"/>
          <w:b/>
          <w:bCs/>
          <w:sz w:val="22"/>
          <w:szCs w:val="22"/>
        </w:rPr>
        <w:t>Laghman</w:t>
      </w:r>
      <w:r w:rsidR="00344AB5">
        <w:rPr>
          <w:b/>
          <w:bCs/>
          <w:sz w:val="20"/>
          <w:szCs w:val="20"/>
        </w:rPr>
        <w:t xml:space="preserve"> province</w:t>
      </w:r>
      <w:r w:rsidR="00344AB5">
        <w:rPr>
          <w:sz w:val="20"/>
          <w:szCs w:val="20"/>
        </w:rPr>
        <w:t xml:space="preserve"> </w:t>
      </w:r>
      <w:r w:rsidR="00344AB5">
        <w:rPr>
          <w:b/>
          <w:bCs/>
          <w:sz w:val="20"/>
          <w:szCs w:val="20"/>
        </w:rPr>
        <w:t>(different Aria in center of laghman where nomads residence, Nahr Karim and Areas in srkhakan where nomads residence , and Nabi kanj Tarakhel area. where Nomads are live or residing.</w:t>
      </w:r>
    </w:p>
    <w:p w14:paraId="50BFD75F" w14:textId="6F643B3D" w:rsidR="0032067E" w:rsidRPr="0032067E" w:rsidRDefault="0032067E" w:rsidP="00344AB5">
      <w:pPr>
        <w:pStyle w:val="Default"/>
        <w:rPr>
          <w:b/>
          <w:bCs/>
          <w:sz w:val="18"/>
          <w:szCs w:val="18"/>
        </w:rPr>
      </w:pPr>
    </w:p>
    <w:p w14:paraId="71AAF975" w14:textId="77777777" w:rsidR="0032067E" w:rsidRDefault="0032067E" w:rsidP="0032067E">
      <w:pPr>
        <w:pStyle w:val="Default"/>
        <w:rPr>
          <w:sz w:val="20"/>
          <w:szCs w:val="20"/>
        </w:rPr>
      </w:pPr>
    </w:p>
    <w:p w14:paraId="11308F97" w14:textId="277E1959" w:rsidR="00E642EF" w:rsidRDefault="008D1363" w:rsidP="0032067E">
      <w:pPr>
        <w:pStyle w:val="Default"/>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344AB5">
        <w:rPr>
          <w:rFonts w:asciiTheme="minorBidi" w:hAnsiTheme="minorBidi" w:cstheme="minorBidi"/>
          <w:b/>
          <w:bCs/>
          <w:sz w:val="20"/>
          <w:szCs w:val="20"/>
        </w:rPr>
        <w:t>Laghman</w:t>
      </w:r>
      <w:r w:rsidR="00E642EF" w:rsidRPr="002A4772">
        <w:rPr>
          <w:rFonts w:asciiTheme="minorBidi" w:hAnsiTheme="minorBidi" w:cstheme="minorBidi"/>
          <w:b/>
          <w:bCs/>
          <w:sz w:val="20"/>
          <w:szCs w:val="20"/>
        </w:rPr>
        <w:t>-011</w:t>
      </w:r>
      <w:r w:rsidR="00344AB5">
        <w:rPr>
          <w:rFonts w:asciiTheme="minorBidi" w:hAnsiTheme="minorBidi" w:cstheme="minorBidi"/>
          <w:b/>
          <w:bCs/>
          <w:sz w:val="20"/>
          <w:szCs w:val="20"/>
        </w:rPr>
        <w:t>5</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Taimani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lastRenderedPageBreak/>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w:t>
      </w:r>
      <w:r w:rsidRPr="006665C3">
        <w:rPr>
          <w:rFonts w:asciiTheme="minorBidi" w:hAnsiTheme="minorBidi" w:cstheme="minorBidi"/>
          <w:sz w:val="20"/>
          <w:szCs w:val="20"/>
        </w:rPr>
        <w:lastRenderedPageBreak/>
        <w:t xml:space="preserve">requirements of this RFQ within the last year. The Bidder must also provide copies of reference letters or 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45855" w14:textId="77777777" w:rsidR="001A3DF5" w:rsidRDefault="001A3DF5" w:rsidP="00E95108">
      <w:pPr>
        <w:spacing w:after="0" w:line="240" w:lineRule="auto"/>
      </w:pPr>
      <w:r>
        <w:separator/>
      </w:r>
    </w:p>
  </w:endnote>
  <w:endnote w:type="continuationSeparator" w:id="0">
    <w:p w14:paraId="4F728255" w14:textId="77777777" w:rsidR="001A3DF5" w:rsidRDefault="001A3DF5"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08300" w14:textId="77777777" w:rsidR="001A3DF5" w:rsidRDefault="001A3DF5" w:rsidP="00E95108">
      <w:pPr>
        <w:spacing w:after="0" w:line="240" w:lineRule="auto"/>
      </w:pPr>
      <w:r>
        <w:separator/>
      </w:r>
    </w:p>
  </w:footnote>
  <w:footnote w:type="continuationSeparator" w:id="0">
    <w:p w14:paraId="1B480242" w14:textId="77777777" w:rsidR="001A3DF5" w:rsidRDefault="001A3DF5"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0361A"/>
    <w:rsid w:val="00116F6B"/>
    <w:rsid w:val="00137452"/>
    <w:rsid w:val="00152428"/>
    <w:rsid w:val="001533E1"/>
    <w:rsid w:val="00157F86"/>
    <w:rsid w:val="00170B0A"/>
    <w:rsid w:val="00184C20"/>
    <w:rsid w:val="001925EA"/>
    <w:rsid w:val="0019567C"/>
    <w:rsid w:val="001A3DF5"/>
    <w:rsid w:val="001C3673"/>
    <w:rsid w:val="001E74CD"/>
    <w:rsid w:val="002076E7"/>
    <w:rsid w:val="002152D4"/>
    <w:rsid w:val="0023210B"/>
    <w:rsid w:val="00244B77"/>
    <w:rsid w:val="00263DEF"/>
    <w:rsid w:val="0029636B"/>
    <w:rsid w:val="002A2837"/>
    <w:rsid w:val="002C1424"/>
    <w:rsid w:val="002D1236"/>
    <w:rsid w:val="00310D14"/>
    <w:rsid w:val="00316840"/>
    <w:rsid w:val="00316EB9"/>
    <w:rsid w:val="0032067E"/>
    <w:rsid w:val="00344AB5"/>
    <w:rsid w:val="00361F60"/>
    <w:rsid w:val="00363276"/>
    <w:rsid w:val="0037770E"/>
    <w:rsid w:val="003866E6"/>
    <w:rsid w:val="00396D6A"/>
    <w:rsid w:val="003A1D3E"/>
    <w:rsid w:val="003B2F00"/>
    <w:rsid w:val="003E2D30"/>
    <w:rsid w:val="00443BEB"/>
    <w:rsid w:val="00474C51"/>
    <w:rsid w:val="004C2E61"/>
    <w:rsid w:val="004C696C"/>
    <w:rsid w:val="004D3591"/>
    <w:rsid w:val="004E2888"/>
    <w:rsid w:val="004F6B1C"/>
    <w:rsid w:val="00506C70"/>
    <w:rsid w:val="0050763D"/>
    <w:rsid w:val="00510890"/>
    <w:rsid w:val="00512C41"/>
    <w:rsid w:val="0057543F"/>
    <w:rsid w:val="005A5409"/>
    <w:rsid w:val="005C1223"/>
    <w:rsid w:val="005C5A3A"/>
    <w:rsid w:val="005E28F2"/>
    <w:rsid w:val="00652C22"/>
    <w:rsid w:val="006543E3"/>
    <w:rsid w:val="006569B7"/>
    <w:rsid w:val="006665C3"/>
    <w:rsid w:val="00677925"/>
    <w:rsid w:val="00684463"/>
    <w:rsid w:val="006B0F38"/>
    <w:rsid w:val="006B11F6"/>
    <w:rsid w:val="006B25C2"/>
    <w:rsid w:val="00722680"/>
    <w:rsid w:val="007238AC"/>
    <w:rsid w:val="00734BDB"/>
    <w:rsid w:val="007716D1"/>
    <w:rsid w:val="00786701"/>
    <w:rsid w:val="00790D1A"/>
    <w:rsid w:val="007C1B20"/>
    <w:rsid w:val="00807D7F"/>
    <w:rsid w:val="008457A6"/>
    <w:rsid w:val="0085708B"/>
    <w:rsid w:val="008A5E7B"/>
    <w:rsid w:val="008D1363"/>
    <w:rsid w:val="008E1ADB"/>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675E1"/>
    <w:rsid w:val="00B76DB8"/>
    <w:rsid w:val="00B83677"/>
    <w:rsid w:val="00BE5EDF"/>
    <w:rsid w:val="00BF27E2"/>
    <w:rsid w:val="00C307F4"/>
    <w:rsid w:val="00C356B5"/>
    <w:rsid w:val="00C5326B"/>
    <w:rsid w:val="00C611E8"/>
    <w:rsid w:val="00C73A1B"/>
    <w:rsid w:val="00C93F02"/>
    <w:rsid w:val="00CA4394"/>
    <w:rsid w:val="00CC6638"/>
    <w:rsid w:val="00CD306A"/>
    <w:rsid w:val="00D00E0D"/>
    <w:rsid w:val="00D147CC"/>
    <w:rsid w:val="00D5761D"/>
    <w:rsid w:val="00D659C8"/>
    <w:rsid w:val="00D75D80"/>
    <w:rsid w:val="00DB2203"/>
    <w:rsid w:val="00DF74C0"/>
    <w:rsid w:val="00E1421A"/>
    <w:rsid w:val="00E5137B"/>
    <w:rsid w:val="00E6174A"/>
    <w:rsid w:val="00E642EF"/>
    <w:rsid w:val="00E7286D"/>
    <w:rsid w:val="00E95108"/>
    <w:rsid w:val="00EC473F"/>
    <w:rsid w:val="00EC4D83"/>
    <w:rsid w:val="00EE549C"/>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1199703705">
      <w:bodyDiv w:val="1"/>
      <w:marLeft w:val="0"/>
      <w:marRight w:val="0"/>
      <w:marTop w:val="0"/>
      <w:marBottom w:val="0"/>
      <w:divBdr>
        <w:top w:val="none" w:sz="0" w:space="0" w:color="auto"/>
        <w:left w:val="none" w:sz="0" w:space="0" w:color="auto"/>
        <w:bottom w:val="none" w:sz="0" w:space="0" w:color="auto"/>
        <w:right w:val="none" w:sz="0" w:space="0" w:color="auto"/>
      </w:divBdr>
    </w:div>
    <w:div w:id="1530021096">
      <w:bodyDiv w:val="1"/>
      <w:marLeft w:val="0"/>
      <w:marRight w:val="0"/>
      <w:marTop w:val="0"/>
      <w:marBottom w:val="0"/>
      <w:divBdr>
        <w:top w:val="none" w:sz="0" w:space="0" w:color="auto"/>
        <w:left w:val="none" w:sz="0" w:space="0" w:color="auto"/>
        <w:bottom w:val="none" w:sz="0" w:space="0" w:color="auto"/>
        <w:right w:val="none" w:sz="0" w:space="0" w:color="auto"/>
      </w:divBdr>
    </w:div>
    <w:div w:id="1549149732">
      <w:bodyDiv w:val="1"/>
      <w:marLeft w:val="0"/>
      <w:marRight w:val="0"/>
      <w:marTop w:val="0"/>
      <w:marBottom w:val="0"/>
      <w:divBdr>
        <w:top w:val="none" w:sz="0" w:space="0" w:color="auto"/>
        <w:left w:val="none" w:sz="0" w:space="0" w:color="auto"/>
        <w:bottom w:val="none" w:sz="0" w:space="0" w:color="auto"/>
        <w:right w:val="none" w:sz="0" w:space="0" w:color="auto"/>
      </w:divBdr>
    </w:div>
    <w:div w:id="1688100303">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Pages>
  <Words>1466</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76</cp:revision>
  <cp:lastPrinted>2022-09-19T05:29:00Z</cp:lastPrinted>
  <dcterms:created xsi:type="dcterms:W3CDTF">2019-11-05T08:26:00Z</dcterms:created>
  <dcterms:modified xsi:type="dcterms:W3CDTF">2023-05-14T07:45:00Z</dcterms:modified>
</cp:coreProperties>
</file>